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0A250" w14:textId="77777777" w:rsidR="005E2212" w:rsidRDefault="005E2212" w:rsidP="005E2212">
      <w:pPr>
        <w:spacing w:line="276" w:lineRule="auto"/>
        <w:rPr>
          <w:sz w:val="28"/>
          <w:szCs w:val="28"/>
        </w:rPr>
      </w:pPr>
      <w:r w:rsidRPr="005E2212">
        <w:rPr>
          <w:sz w:val="28"/>
          <w:szCs w:val="28"/>
        </w:rPr>
        <w:t>In April 2024, the California Attorney General issued an opinion (</w:t>
      </w:r>
      <w:hyperlink r:id="rId8" w:history="1">
        <w:r w:rsidRPr="005E2212">
          <w:rPr>
            <w:rStyle w:val="Hyperlink"/>
            <w:sz w:val="28"/>
            <w:szCs w:val="28"/>
          </w:rPr>
          <w:t>link</w:t>
        </w:r>
      </w:hyperlink>
      <w:r w:rsidRPr="005E2212">
        <w:rPr>
          <w:sz w:val="28"/>
          <w:szCs w:val="28"/>
        </w:rPr>
        <w:t>) concluding that the open meeting requirements of the Brown Act must be satisfied where (a) the mayor delivers a “state of the city” address; (b) at a breakfast event hosted by the local chamber of commerce; (c) a majority of councilmembers attend; and (d) the public is required to purchase tickets to watch the address in real time.  The Attorney General also concluded that several exceptions to the definition of a “meeting” under the Brown Act did not apply under the facts provided by the Ventura County District Attorney.</w:t>
      </w:r>
    </w:p>
    <w:p w14:paraId="37952186" w14:textId="77777777" w:rsidR="005E2212" w:rsidRPr="005E2212" w:rsidRDefault="005E2212" w:rsidP="005E2212">
      <w:pPr>
        <w:spacing w:line="276" w:lineRule="auto"/>
        <w:rPr>
          <w:sz w:val="28"/>
          <w:szCs w:val="28"/>
        </w:rPr>
      </w:pPr>
    </w:p>
    <w:p w14:paraId="666FB34C" w14:textId="19C9FC8F" w:rsidR="005E2212" w:rsidRDefault="009C05AD" w:rsidP="005E2212">
      <w:pPr>
        <w:spacing w:line="276" w:lineRule="auto"/>
        <w:rPr>
          <w:sz w:val="28"/>
          <w:szCs w:val="28"/>
        </w:rPr>
      </w:pPr>
      <w:r>
        <w:rPr>
          <w:sz w:val="28"/>
          <w:szCs w:val="28"/>
        </w:rPr>
        <w:t>T</w:t>
      </w:r>
      <w:r w:rsidR="005E2212" w:rsidRPr="005E2212">
        <w:rPr>
          <w:sz w:val="28"/>
          <w:szCs w:val="28"/>
        </w:rPr>
        <w:t>he Attorney General</w:t>
      </w:r>
      <w:r>
        <w:rPr>
          <w:sz w:val="28"/>
          <w:szCs w:val="28"/>
        </w:rPr>
        <w:t>’s opinion</w:t>
      </w:r>
      <w:r w:rsidR="005E2212" w:rsidRPr="005E2212">
        <w:rPr>
          <w:sz w:val="28"/>
          <w:szCs w:val="28"/>
        </w:rPr>
        <w:t xml:space="preserve"> noted </w:t>
      </w:r>
      <w:r>
        <w:rPr>
          <w:sz w:val="28"/>
          <w:szCs w:val="28"/>
        </w:rPr>
        <w:t xml:space="preserve">its </w:t>
      </w:r>
      <w:r w:rsidR="005E2212" w:rsidRPr="005E2212">
        <w:rPr>
          <w:sz w:val="28"/>
          <w:szCs w:val="28"/>
        </w:rPr>
        <w:t>“limited nature</w:t>
      </w:r>
      <w:r w:rsidR="001278E8">
        <w:rPr>
          <w:sz w:val="28"/>
          <w:szCs w:val="28"/>
        </w:rPr>
        <w:t>,</w:t>
      </w:r>
      <w:r w:rsidR="005E2212" w:rsidRPr="005E2212">
        <w:rPr>
          <w:sz w:val="28"/>
          <w:szCs w:val="28"/>
        </w:rPr>
        <w:t>”</w:t>
      </w:r>
      <w:r>
        <w:rPr>
          <w:sz w:val="28"/>
          <w:szCs w:val="28"/>
        </w:rPr>
        <w:t xml:space="preserve"> and was based on </w:t>
      </w:r>
      <w:r w:rsidR="001278E8">
        <w:rPr>
          <w:sz w:val="28"/>
          <w:szCs w:val="28"/>
        </w:rPr>
        <w:t xml:space="preserve">the </w:t>
      </w:r>
      <w:r>
        <w:rPr>
          <w:sz w:val="28"/>
          <w:szCs w:val="28"/>
        </w:rPr>
        <w:t>specific facts presented.</w:t>
      </w:r>
      <w:r w:rsidR="001278E8">
        <w:rPr>
          <w:sz w:val="28"/>
          <w:szCs w:val="28"/>
        </w:rPr>
        <w:t xml:space="preserve">  </w:t>
      </w:r>
      <w:r w:rsidR="00D638DC">
        <w:rPr>
          <w:sz w:val="28"/>
          <w:szCs w:val="28"/>
        </w:rPr>
        <w:t xml:space="preserve">Additionally, </w:t>
      </w:r>
      <w:r w:rsidR="005E2212" w:rsidRPr="005E2212">
        <w:rPr>
          <w:sz w:val="28"/>
          <w:szCs w:val="28"/>
        </w:rPr>
        <w:t>Attorney General opinions are not binding on courts</w:t>
      </w:r>
      <w:r w:rsidR="009022CB">
        <w:rPr>
          <w:sz w:val="28"/>
          <w:szCs w:val="28"/>
        </w:rPr>
        <w:t xml:space="preserve">.  That said, </w:t>
      </w:r>
      <w:r w:rsidR="005E2212" w:rsidRPr="005E2212">
        <w:rPr>
          <w:sz w:val="28"/>
          <w:szCs w:val="28"/>
        </w:rPr>
        <w:t>such opinions are given “considerable weight” in statutory interpretation.  Therefore, the following observations are offered for consideration.</w:t>
      </w:r>
    </w:p>
    <w:p w14:paraId="3280C5CA" w14:textId="77777777" w:rsidR="005E2212" w:rsidRPr="005E2212" w:rsidRDefault="005E2212" w:rsidP="005E2212">
      <w:pPr>
        <w:spacing w:line="276" w:lineRule="auto"/>
        <w:rPr>
          <w:sz w:val="28"/>
          <w:szCs w:val="28"/>
        </w:rPr>
      </w:pPr>
    </w:p>
    <w:p w14:paraId="663E5B73" w14:textId="77777777" w:rsidR="005E2212" w:rsidRPr="005E2212" w:rsidRDefault="005E2212" w:rsidP="005E2212">
      <w:pPr>
        <w:spacing w:line="276" w:lineRule="auto"/>
        <w:rPr>
          <w:b/>
          <w:bCs/>
          <w:sz w:val="28"/>
          <w:szCs w:val="28"/>
        </w:rPr>
      </w:pPr>
      <w:r w:rsidRPr="005E2212">
        <w:rPr>
          <w:b/>
          <w:bCs/>
          <w:sz w:val="28"/>
          <w:szCs w:val="28"/>
        </w:rPr>
        <w:t>“Conference or Similar Gathering” Exception</w:t>
      </w:r>
    </w:p>
    <w:p w14:paraId="68EA91B6" w14:textId="77777777" w:rsidR="005E2212" w:rsidRDefault="005E2212" w:rsidP="005E2212">
      <w:pPr>
        <w:spacing w:line="276" w:lineRule="auto"/>
        <w:rPr>
          <w:sz w:val="28"/>
          <w:szCs w:val="28"/>
        </w:rPr>
      </w:pPr>
    </w:p>
    <w:p w14:paraId="014739C0" w14:textId="5618F0EF" w:rsidR="005E2212" w:rsidRDefault="005E2212" w:rsidP="005E2212">
      <w:pPr>
        <w:spacing w:line="276" w:lineRule="auto"/>
        <w:rPr>
          <w:sz w:val="28"/>
          <w:szCs w:val="28"/>
        </w:rPr>
      </w:pPr>
      <w:r w:rsidRPr="005E2212">
        <w:rPr>
          <w:sz w:val="28"/>
          <w:szCs w:val="28"/>
        </w:rPr>
        <w:t xml:space="preserve">The “conference or similar gathering” exception of Government Code Section 54952.2(c)(2) exception allows a majority of members of a legislative body to attend a “conference or similar gathering” open to the public that addresses issues of “general interest” to the public or to public agencies of the type represented by the legislative body.  The Attorney General’s opinion determined this exception did not apply to the </w:t>
      </w:r>
      <w:r w:rsidR="00D638DC">
        <w:rPr>
          <w:sz w:val="28"/>
          <w:szCs w:val="28"/>
        </w:rPr>
        <w:t>mayor’s s</w:t>
      </w:r>
      <w:r w:rsidRPr="005E2212">
        <w:rPr>
          <w:sz w:val="28"/>
          <w:szCs w:val="28"/>
        </w:rPr>
        <w:t xml:space="preserve">tate of the </w:t>
      </w:r>
      <w:r w:rsidR="00D638DC">
        <w:rPr>
          <w:sz w:val="28"/>
          <w:szCs w:val="28"/>
        </w:rPr>
        <w:t>c</w:t>
      </w:r>
      <w:r w:rsidRPr="005E2212">
        <w:rPr>
          <w:sz w:val="28"/>
          <w:szCs w:val="28"/>
        </w:rPr>
        <w:t>ity address for two reasons.</w:t>
      </w:r>
    </w:p>
    <w:p w14:paraId="56AF5D31" w14:textId="77777777" w:rsidR="00D638DC" w:rsidRPr="005E2212" w:rsidRDefault="00D638DC" w:rsidP="005E2212">
      <w:pPr>
        <w:spacing w:line="276" w:lineRule="auto"/>
        <w:rPr>
          <w:sz w:val="28"/>
          <w:szCs w:val="28"/>
        </w:rPr>
      </w:pPr>
    </w:p>
    <w:p w14:paraId="247F2E9A" w14:textId="77777777" w:rsidR="005E2212" w:rsidRPr="005E2212" w:rsidRDefault="005E2212" w:rsidP="005E2212">
      <w:pPr>
        <w:spacing w:line="276" w:lineRule="auto"/>
        <w:rPr>
          <w:sz w:val="28"/>
          <w:szCs w:val="28"/>
        </w:rPr>
      </w:pPr>
      <w:r w:rsidRPr="005E2212">
        <w:rPr>
          <w:sz w:val="28"/>
          <w:szCs w:val="28"/>
        </w:rPr>
        <w:t>First, the Attorney General’s opinion notes that the common definition of “conference” involves multiple parties or presentations, but the mayor’s state of the city address is a single speech – by a single official – regarding conditions in a single city.</w:t>
      </w:r>
    </w:p>
    <w:p w14:paraId="3E2B9819" w14:textId="49A90859" w:rsidR="005E2212" w:rsidRDefault="005E2212" w:rsidP="005E2212">
      <w:pPr>
        <w:spacing w:line="276" w:lineRule="auto"/>
        <w:rPr>
          <w:sz w:val="28"/>
          <w:szCs w:val="28"/>
        </w:rPr>
      </w:pPr>
      <w:r w:rsidRPr="005E2212">
        <w:rPr>
          <w:sz w:val="28"/>
          <w:szCs w:val="28"/>
        </w:rPr>
        <w:t>Second, even if the state of the city address were a “conference or similar gathering,” the Attorney General concluded that the state of the city address “was of only limited interest outside of the city,” and therefore not of general interest.</w:t>
      </w:r>
    </w:p>
    <w:p w14:paraId="28CE6B46" w14:textId="77777777" w:rsidR="005E2212" w:rsidRPr="005E2212" w:rsidRDefault="005E2212" w:rsidP="005E2212">
      <w:pPr>
        <w:spacing w:line="276" w:lineRule="auto"/>
        <w:rPr>
          <w:b/>
          <w:bCs/>
          <w:sz w:val="28"/>
          <w:szCs w:val="28"/>
        </w:rPr>
      </w:pPr>
    </w:p>
    <w:p w14:paraId="2976C75F" w14:textId="77777777" w:rsidR="005E2212" w:rsidRPr="005E2212" w:rsidRDefault="005E2212" w:rsidP="005E2212">
      <w:pPr>
        <w:spacing w:line="276" w:lineRule="auto"/>
        <w:rPr>
          <w:b/>
          <w:bCs/>
          <w:sz w:val="28"/>
          <w:szCs w:val="28"/>
        </w:rPr>
      </w:pPr>
      <w:r w:rsidRPr="005E2212">
        <w:rPr>
          <w:b/>
          <w:bCs/>
          <w:sz w:val="28"/>
          <w:szCs w:val="28"/>
        </w:rPr>
        <w:t>“Community Meeting” Exception</w:t>
      </w:r>
    </w:p>
    <w:p w14:paraId="2C9871BC" w14:textId="77777777" w:rsidR="005E2212" w:rsidRDefault="005E2212" w:rsidP="005E2212">
      <w:pPr>
        <w:spacing w:line="276" w:lineRule="auto"/>
        <w:rPr>
          <w:sz w:val="28"/>
          <w:szCs w:val="28"/>
        </w:rPr>
      </w:pPr>
    </w:p>
    <w:p w14:paraId="4CCB3FDB" w14:textId="74B22A87" w:rsidR="005E2212" w:rsidRPr="005E2212" w:rsidRDefault="005E2212" w:rsidP="005E2212">
      <w:pPr>
        <w:spacing w:line="276" w:lineRule="auto"/>
        <w:rPr>
          <w:sz w:val="28"/>
          <w:szCs w:val="28"/>
        </w:rPr>
      </w:pPr>
      <w:r w:rsidRPr="005E2212">
        <w:rPr>
          <w:sz w:val="28"/>
          <w:szCs w:val="28"/>
        </w:rPr>
        <w:t xml:space="preserve">The “community meeting” exception of Government Code Section 54952.2(c)(3) allows a majority of members of the legislative body to attend “an open and publicized meeting organized to address a topic of local community concern by a person or organization other than the local agency.”  The Attorney General concluded that the state of the city address </w:t>
      </w:r>
      <w:r w:rsidR="00036FFC">
        <w:rPr>
          <w:sz w:val="28"/>
          <w:szCs w:val="28"/>
        </w:rPr>
        <w:t xml:space="preserve">at issue </w:t>
      </w:r>
      <w:r w:rsidRPr="005E2212">
        <w:rPr>
          <w:sz w:val="28"/>
          <w:szCs w:val="28"/>
        </w:rPr>
        <w:t>was not sufficiently “open” to satisfy this exception because attendees had to purchase a ticket to the breakfast.</w:t>
      </w:r>
    </w:p>
    <w:p w14:paraId="24F6F8D6" w14:textId="77777777" w:rsidR="00D638DC" w:rsidRDefault="00D638DC" w:rsidP="005E2212">
      <w:pPr>
        <w:spacing w:line="276" w:lineRule="auto"/>
        <w:rPr>
          <w:sz w:val="28"/>
          <w:szCs w:val="28"/>
        </w:rPr>
      </w:pPr>
    </w:p>
    <w:p w14:paraId="2C5DA52D" w14:textId="721661F8" w:rsidR="005E2212" w:rsidRDefault="005E2212" w:rsidP="005E2212">
      <w:pPr>
        <w:spacing w:line="276" w:lineRule="auto"/>
        <w:rPr>
          <w:sz w:val="28"/>
          <w:szCs w:val="28"/>
        </w:rPr>
      </w:pPr>
      <w:r w:rsidRPr="00EF2930">
        <w:rPr>
          <w:sz w:val="28"/>
          <w:szCs w:val="28"/>
        </w:rPr>
        <w:t xml:space="preserve">For state of the city addresses hosted by private organizations in the future, </w:t>
      </w:r>
      <w:r w:rsidR="00036FFC">
        <w:rPr>
          <w:sz w:val="28"/>
          <w:szCs w:val="28"/>
        </w:rPr>
        <w:t>hosts</w:t>
      </w:r>
      <w:r w:rsidR="00036FFC" w:rsidRPr="00EF2930">
        <w:rPr>
          <w:sz w:val="28"/>
          <w:szCs w:val="28"/>
        </w:rPr>
        <w:t xml:space="preserve"> </w:t>
      </w:r>
      <w:r w:rsidRPr="00EF2930">
        <w:rPr>
          <w:sz w:val="28"/>
          <w:szCs w:val="28"/>
        </w:rPr>
        <w:t xml:space="preserve">may </w:t>
      </w:r>
      <w:r w:rsidR="007B6485">
        <w:rPr>
          <w:sz w:val="28"/>
          <w:szCs w:val="28"/>
        </w:rPr>
        <w:t xml:space="preserve">wish to </w:t>
      </w:r>
      <w:r w:rsidRPr="00EF2930">
        <w:rPr>
          <w:sz w:val="28"/>
          <w:szCs w:val="28"/>
        </w:rPr>
        <w:t>consider offering public access without requiring the purchase of a ticket.</w:t>
      </w:r>
    </w:p>
    <w:p w14:paraId="7A8BB949" w14:textId="77777777" w:rsidR="001278E8" w:rsidRDefault="001278E8" w:rsidP="005E2212">
      <w:pPr>
        <w:spacing w:line="276" w:lineRule="auto"/>
        <w:rPr>
          <w:sz w:val="28"/>
          <w:szCs w:val="28"/>
        </w:rPr>
      </w:pPr>
    </w:p>
    <w:p w14:paraId="2C1B87B5" w14:textId="77777777" w:rsidR="005E2212" w:rsidRDefault="005E2212" w:rsidP="005E2212">
      <w:pPr>
        <w:spacing w:line="276" w:lineRule="auto"/>
        <w:rPr>
          <w:sz w:val="28"/>
          <w:szCs w:val="28"/>
        </w:rPr>
      </w:pPr>
    </w:p>
    <w:p w14:paraId="1F96896A" w14:textId="77777777" w:rsidR="005E2212" w:rsidRPr="005E2212" w:rsidRDefault="005E2212" w:rsidP="005E2212">
      <w:pPr>
        <w:spacing w:line="276" w:lineRule="auto"/>
        <w:rPr>
          <w:b/>
          <w:bCs/>
          <w:sz w:val="28"/>
          <w:szCs w:val="28"/>
        </w:rPr>
      </w:pPr>
      <w:r w:rsidRPr="005E2212">
        <w:rPr>
          <w:b/>
          <w:bCs/>
          <w:sz w:val="28"/>
          <w:szCs w:val="28"/>
        </w:rPr>
        <w:lastRenderedPageBreak/>
        <w:t>“Purely Social or Ceremonial Occasion” Exception</w:t>
      </w:r>
    </w:p>
    <w:p w14:paraId="1479D1CF" w14:textId="77777777" w:rsidR="005E2212" w:rsidRDefault="005E2212" w:rsidP="005E2212">
      <w:pPr>
        <w:spacing w:line="276" w:lineRule="auto"/>
        <w:rPr>
          <w:sz w:val="28"/>
          <w:szCs w:val="28"/>
        </w:rPr>
      </w:pPr>
    </w:p>
    <w:p w14:paraId="6D2267B8" w14:textId="373201BF" w:rsidR="005E2212" w:rsidRDefault="005E2212" w:rsidP="005E2212">
      <w:pPr>
        <w:spacing w:line="276" w:lineRule="auto"/>
        <w:rPr>
          <w:sz w:val="28"/>
          <w:szCs w:val="28"/>
        </w:rPr>
      </w:pPr>
      <w:r w:rsidRPr="005E2212">
        <w:rPr>
          <w:sz w:val="28"/>
          <w:szCs w:val="28"/>
        </w:rPr>
        <w:t xml:space="preserve">The “purely social or ceremonial occasion” exception of Government Code Section 54952.2(c)(5) allows a majority of members a legislative body to attend a purely social or ceremonial event.  This exception to the definition of a “meeting” under the Brown Act was viewed narrowly in the Attorney General’s opinion.  </w:t>
      </w:r>
    </w:p>
    <w:p w14:paraId="05C73BD9" w14:textId="77777777" w:rsidR="007B6485" w:rsidRPr="005E2212" w:rsidRDefault="007B6485" w:rsidP="005E2212">
      <w:pPr>
        <w:spacing w:line="276" w:lineRule="auto"/>
        <w:rPr>
          <w:sz w:val="28"/>
          <w:szCs w:val="28"/>
        </w:rPr>
      </w:pPr>
    </w:p>
    <w:p w14:paraId="5BF1F13B" w14:textId="3FF26073" w:rsidR="005E2212" w:rsidRPr="005E2212" w:rsidRDefault="005E2212" w:rsidP="005E2212">
      <w:pPr>
        <w:spacing w:line="276" w:lineRule="auto"/>
        <w:rPr>
          <w:sz w:val="28"/>
          <w:szCs w:val="28"/>
        </w:rPr>
      </w:pPr>
      <w:r w:rsidRPr="005E2212">
        <w:rPr>
          <w:sz w:val="28"/>
          <w:szCs w:val="28"/>
        </w:rPr>
        <w:t xml:space="preserve">The opinion states that the exception only applies “if an occasion is completely, exclusively, and genuinely social or ceremonial.”  </w:t>
      </w:r>
      <w:r w:rsidRPr="00EF2930">
        <w:rPr>
          <w:sz w:val="28"/>
          <w:szCs w:val="28"/>
        </w:rPr>
        <w:t>In other words, while a state of the city address can often have “social interaction and ceremonial pomp,” the Attorney General concluded that the presence of these characteristics, alone, would not transform an address into a “</w:t>
      </w:r>
      <w:r w:rsidRPr="00EF2930">
        <w:rPr>
          <w:sz w:val="28"/>
          <w:szCs w:val="28"/>
          <w:u w:val="single"/>
        </w:rPr>
        <w:t>purely</w:t>
      </w:r>
      <w:r w:rsidRPr="00EF2930">
        <w:rPr>
          <w:sz w:val="28"/>
          <w:szCs w:val="28"/>
        </w:rPr>
        <w:t xml:space="preserve"> social or ceremonial” event.  (</w:t>
      </w:r>
      <w:proofErr w:type="gramStart"/>
      <w:r w:rsidRPr="00EF2930">
        <w:rPr>
          <w:sz w:val="28"/>
          <w:szCs w:val="28"/>
        </w:rPr>
        <w:t>emphasis</w:t>
      </w:r>
      <w:proofErr w:type="gramEnd"/>
      <w:r w:rsidRPr="00EF2930">
        <w:rPr>
          <w:sz w:val="28"/>
          <w:szCs w:val="28"/>
        </w:rPr>
        <w:t xml:space="preserve"> in original.)</w:t>
      </w:r>
      <w:r w:rsidR="007B6485">
        <w:rPr>
          <w:sz w:val="28"/>
          <w:szCs w:val="28"/>
        </w:rPr>
        <w:t xml:space="preserve">  </w:t>
      </w:r>
    </w:p>
    <w:p w14:paraId="6BC05A25" w14:textId="52C2D3D6" w:rsidR="005E2212" w:rsidRPr="005E2212" w:rsidRDefault="005E2212" w:rsidP="005E2212">
      <w:pPr>
        <w:spacing w:line="276" w:lineRule="auto"/>
        <w:rPr>
          <w:sz w:val="28"/>
          <w:szCs w:val="28"/>
        </w:rPr>
      </w:pPr>
    </w:p>
    <w:p w14:paraId="246CEFAC" w14:textId="77777777" w:rsidR="00853955" w:rsidRPr="001278E8" w:rsidRDefault="009C05AD" w:rsidP="005E2212">
      <w:pPr>
        <w:spacing w:line="276" w:lineRule="auto"/>
        <w:rPr>
          <w:sz w:val="28"/>
          <w:szCs w:val="28"/>
        </w:rPr>
      </w:pPr>
      <w:r w:rsidRPr="001278E8">
        <w:rPr>
          <w:sz w:val="28"/>
          <w:szCs w:val="28"/>
        </w:rPr>
        <w:t xml:space="preserve">Cities </w:t>
      </w:r>
      <w:r w:rsidR="00853955" w:rsidRPr="001278E8">
        <w:rPr>
          <w:sz w:val="28"/>
          <w:szCs w:val="28"/>
        </w:rPr>
        <w:t xml:space="preserve">may wish to review their existing </w:t>
      </w:r>
      <w:r w:rsidRPr="001278E8">
        <w:rPr>
          <w:sz w:val="28"/>
          <w:szCs w:val="28"/>
        </w:rPr>
        <w:t xml:space="preserve">practices </w:t>
      </w:r>
      <w:proofErr w:type="gramStart"/>
      <w:r w:rsidRPr="001278E8">
        <w:rPr>
          <w:sz w:val="28"/>
          <w:szCs w:val="28"/>
        </w:rPr>
        <w:t>in light of</w:t>
      </w:r>
      <w:proofErr w:type="gramEnd"/>
      <w:r w:rsidRPr="001278E8">
        <w:rPr>
          <w:sz w:val="28"/>
          <w:szCs w:val="28"/>
        </w:rPr>
        <w:t xml:space="preserve"> the Attorney General’s opinion.  </w:t>
      </w:r>
    </w:p>
    <w:p w14:paraId="7404E605" w14:textId="77777777" w:rsidR="00853955" w:rsidRDefault="00853955" w:rsidP="005E2212">
      <w:pPr>
        <w:spacing w:line="276" w:lineRule="auto"/>
        <w:rPr>
          <w:i/>
          <w:iCs/>
          <w:sz w:val="28"/>
          <w:szCs w:val="28"/>
        </w:rPr>
      </w:pPr>
    </w:p>
    <w:p w14:paraId="4D4F24FE" w14:textId="076976F2" w:rsidR="005E2212" w:rsidRPr="005E2212" w:rsidRDefault="005E2212" w:rsidP="005E2212">
      <w:pPr>
        <w:spacing w:line="276" w:lineRule="auto"/>
        <w:rPr>
          <w:sz w:val="28"/>
          <w:szCs w:val="28"/>
        </w:rPr>
      </w:pPr>
      <w:r w:rsidRPr="005E2212">
        <w:rPr>
          <w:i/>
          <w:iCs/>
          <w:sz w:val="28"/>
          <w:szCs w:val="28"/>
        </w:rPr>
        <w:t>This document is not intended to provide legal advice. Cities with questions about the application of the Attorney General’s opinion to their city’s practices should contact their city attorney for legal advice</w:t>
      </w:r>
      <w:r w:rsidRPr="005E2212">
        <w:rPr>
          <w:sz w:val="28"/>
          <w:szCs w:val="28"/>
        </w:rPr>
        <w:t>.</w:t>
      </w:r>
    </w:p>
    <w:p w14:paraId="752B81DA" w14:textId="4F6E2ED2" w:rsidR="007E7D75" w:rsidRPr="005E2212" w:rsidRDefault="007E7D75" w:rsidP="005E2212">
      <w:pPr>
        <w:spacing w:line="276" w:lineRule="auto"/>
        <w:rPr>
          <w:sz w:val="28"/>
          <w:szCs w:val="28"/>
        </w:rPr>
      </w:pPr>
    </w:p>
    <w:sectPr w:rsidR="007E7D75" w:rsidRPr="005E2212" w:rsidSect="005E2212">
      <w:headerReference w:type="default" r:id="rId9"/>
      <w:footerReference w:type="default" r:id="rId10"/>
      <w:headerReference w:type="first" r:id="rId11"/>
      <w:pgSz w:w="15840" w:h="12240" w:orient="landscape"/>
      <w:pgMar w:top="2880" w:right="2880" w:bottom="1440" w:left="28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DA4B6" w14:textId="77777777" w:rsidR="00236164" w:rsidRDefault="00236164" w:rsidP="00FF6200">
      <w:r>
        <w:separator/>
      </w:r>
    </w:p>
  </w:endnote>
  <w:endnote w:type="continuationSeparator" w:id="0">
    <w:p w14:paraId="01DDF867" w14:textId="77777777" w:rsidR="00236164" w:rsidRDefault="00236164" w:rsidP="00FF6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4F91" w14:textId="721A1976" w:rsidR="00492601" w:rsidRPr="00492601" w:rsidRDefault="006B494C" w:rsidP="008862AC">
    <w:pPr>
      <w:pStyle w:val="Footer"/>
      <w:jc w:val="center"/>
      <w:rPr>
        <w:sz w:val="20"/>
        <w:szCs w:val="20"/>
      </w:rPr>
    </w:pPr>
    <w:r w:rsidRPr="00492601">
      <w:rPr>
        <w:sz w:val="20"/>
        <w:szCs w:val="20"/>
      </w:rPr>
      <w:t xml:space="preserve">City Attorneys Department </w:t>
    </w:r>
    <w:r w:rsidR="005E2212">
      <w:rPr>
        <w:sz w:val="20"/>
        <w:szCs w:val="20"/>
      </w:rPr>
      <w:t>Brown Act</w:t>
    </w:r>
    <w:r w:rsidRPr="00492601">
      <w:rPr>
        <w:sz w:val="20"/>
        <w:szCs w:val="20"/>
      </w:rPr>
      <w:t xml:space="preserve"> Committee </w:t>
    </w:r>
    <w:r w:rsidR="005E2212">
      <w:rPr>
        <w:sz w:val="20"/>
        <w:szCs w:val="20"/>
      </w:rPr>
      <w:t>re AG Opinion 23-102</w:t>
    </w:r>
  </w:p>
  <w:p w14:paraId="50996213" w14:textId="6AE352DB" w:rsidR="006B494C" w:rsidRPr="00492601" w:rsidRDefault="00492601" w:rsidP="00492601">
    <w:pPr>
      <w:pStyle w:val="Footer"/>
      <w:jc w:val="center"/>
      <w:rPr>
        <w:i/>
        <w:iCs/>
        <w:sz w:val="20"/>
        <w:szCs w:val="20"/>
      </w:rPr>
    </w:pPr>
    <w:r w:rsidRPr="00492601">
      <w:rPr>
        <w:i/>
        <w:iCs/>
        <w:sz w:val="20"/>
        <w:szCs w:val="20"/>
      </w:rPr>
      <w:t xml:space="preserve">published </w:t>
    </w:r>
    <w:r w:rsidR="005E2212">
      <w:rPr>
        <w:i/>
        <w:iCs/>
        <w:sz w:val="20"/>
        <w:szCs w:val="20"/>
      </w:rPr>
      <w:t>July</w:t>
    </w:r>
    <w:r w:rsidRPr="00492601">
      <w:rPr>
        <w:i/>
        <w:iCs/>
        <w:sz w:val="20"/>
        <w:szCs w:val="20"/>
      </w:rPr>
      <w:t xml:space="preserve"> 2024</w:t>
    </w:r>
  </w:p>
  <w:p w14:paraId="01937DD5" w14:textId="50EDDF39" w:rsidR="009F5E4C" w:rsidRDefault="00000000">
    <w:pPr>
      <w:pStyle w:val="Footer"/>
      <w:jc w:val="right"/>
    </w:pPr>
    <w:sdt>
      <w:sdtPr>
        <w:rPr>
          <w:sz w:val="20"/>
          <w:szCs w:val="20"/>
        </w:rPr>
        <w:id w:val="1728336379"/>
        <w:docPartObj>
          <w:docPartGallery w:val="Page Numbers (Bottom of Page)"/>
          <w:docPartUnique/>
        </w:docPartObj>
      </w:sdtPr>
      <w:sdtEndPr>
        <w:rPr>
          <w:sz w:val="24"/>
          <w:szCs w:val="24"/>
        </w:rPr>
      </w:sdtEndPr>
      <w:sdtContent>
        <w:sdt>
          <w:sdtPr>
            <w:rPr>
              <w:sz w:val="20"/>
              <w:szCs w:val="20"/>
            </w:rPr>
            <w:id w:val="-1769616900"/>
            <w:docPartObj>
              <w:docPartGallery w:val="Page Numbers (Top of Page)"/>
              <w:docPartUnique/>
            </w:docPartObj>
          </w:sdtPr>
          <w:sdtEndPr>
            <w:rPr>
              <w:sz w:val="24"/>
              <w:szCs w:val="24"/>
            </w:rPr>
          </w:sdtEndPr>
          <w:sdtContent>
            <w:r w:rsidR="009F5E4C" w:rsidRPr="00492601">
              <w:rPr>
                <w:sz w:val="20"/>
                <w:szCs w:val="20"/>
              </w:rPr>
              <w:t xml:space="preserve">Page </w:t>
            </w:r>
            <w:r w:rsidR="009F5E4C" w:rsidRPr="00492601">
              <w:rPr>
                <w:b/>
                <w:bCs/>
                <w:sz w:val="20"/>
                <w:szCs w:val="20"/>
              </w:rPr>
              <w:fldChar w:fldCharType="begin"/>
            </w:r>
            <w:r w:rsidR="009F5E4C" w:rsidRPr="00492601">
              <w:rPr>
                <w:b/>
                <w:bCs/>
                <w:sz w:val="20"/>
                <w:szCs w:val="20"/>
              </w:rPr>
              <w:instrText xml:space="preserve"> PAGE </w:instrText>
            </w:r>
            <w:r w:rsidR="009F5E4C" w:rsidRPr="00492601">
              <w:rPr>
                <w:b/>
                <w:bCs/>
                <w:sz w:val="20"/>
                <w:szCs w:val="20"/>
              </w:rPr>
              <w:fldChar w:fldCharType="separate"/>
            </w:r>
            <w:r w:rsidR="009F5E4C" w:rsidRPr="00492601">
              <w:rPr>
                <w:b/>
                <w:bCs/>
                <w:noProof/>
                <w:sz w:val="20"/>
                <w:szCs w:val="20"/>
              </w:rPr>
              <w:t>2</w:t>
            </w:r>
            <w:r w:rsidR="009F5E4C" w:rsidRPr="00492601">
              <w:rPr>
                <w:b/>
                <w:bCs/>
                <w:sz w:val="20"/>
                <w:szCs w:val="20"/>
              </w:rPr>
              <w:fldChar w:fldCharType="end"/>
            </w:r>
            <w:r w:rsidR="009F5E4C" w:rsidRPr="00492601">
              <w:rPr>
                <w:sz w:val="20"/>
                <w:szCs w:val="20"/>
              </w:rPr>
              <w:t xml:space="preserve"> of </w:t>
            </w:r>
            <w:r w:rsidR="009F5E4C" w:rsidRPr="00492601">
              <w:rPr>
                <w:b/>
                <w:bCs/>
                <w:sz w:val="20"/>
                <w:szCs w:val="20"/>
              </w:rPr>
              <w:fldChar w:fldCharType="begin"/>
            </w:r>
            <w:r w:rsidR="009F5E4C" w:rsidRPr="00492601">
              <w:rPr>
                <w:b/>
                <w:bCs/>
                <w:sz w:val="20"/>
                <w:szCs w:val="20"/>
              </w:rPr>
              <w:instrText xml:space="preserve"> NUMPAGES  </w:instrText>
            </w:r>
            <w:r w:rsidR="009F5E4C" w:rsidRPr="00492601">
              <w:rPr>
                <w:b/>
                <w:bCs/>
                <w:sz w:val="20"/>
                <w:szCs w:val="20"/>
              </w:rPr>
              <w:fldChar w:fldCharType="separate"/>
            </w:r>
            <w:r w:rsidR="009F5E4C" w:rsidRPr="00492601">
              <w:rPr>
                <w:b/>
                <w:bCs/>
                <w:noProof/>
                <w:sz w:val="20"/>
                <w:szCs w:val="20"/>
              </w:rPr>
              <w:t>2</w:t>
            </w:r>
            <w:r w:rsidR="009F5E4C" w:rsidRPr="00492601">
              <w:rPr>
                <w:b/>
                <w:bCs/>
                <w:sz w:val="20"/>
                <w:szCs w:val="20"/>
              </w:rPr>
              <w:fldChar w:fldCharType="end"/>
            </w:r>
          </w:sdtContent>
        </w:sdt>
      </w:sdtContent>
    </w:sdt>
  </w:p>
  <w:p w14:paraId="60A2417A" w14:textId="423EE2E7" w:rsidR="00FF6200" w:rsidRPr="006411AB" w:rsidRDefault="00FF6200" w:rsidP="006411AB">
    <w:pPr>
      <w:pStyle w:val="ListParagraph"/>
      <w:kinsoku w:val="0"/>
      <w:overflowPunct w:val="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246F5" w14:textId="77777777" w:rsidR="00236164" w:rsidRDefault="00236164" w:rsidP="00FF6200">
      <w:r>
        <w:separator/>
      </w:r>
    </w:p>
  </w:footnote>
  <w:footnote w:type="continuationSeparator" w:id="0">
    <w:p w14:paraId="61A7A9DF" w14:textId="77777777" w:rsidR="00236164" w:rsidRDefault="00236164" w:rsidP="00FF6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AA29" w14:textId="77777777" w:rsidR="00FF6200" w:rsidRDefault="00FF6200" w:rsidP="00FF6200">
    <w:pPr>
      <w:pStyle w:val="ListParagraph"/>
      <w:kinsoku w:val="0"/>
      <w:overflowPunct w:val="0"/>
    </w:pPr>
    <w:r>
      <w:rPr>
        <w:noProof/>
      </w:rPr>
      <w:drawing>
        <wp:anchor distT="0" distB="0" distL="114300" distR="114300" simplePos="0" relativeHeight="251658240" behindDoc="0" locked="0" layoutInCell="1" allowOverlap="1" wp14:anchorId="4E7B6AA5" wp14:editId="6FB729C9">
          <wp:simplePos x="0" y="0"/>
          <wp:positionH relativeFrom="column">
            <wp:posOffset>-670560</wp:posOffset>
          </wp:positionH>
          <wp:positionV relativeFrom="paragraph">
            <wp:posOffset>-240030</wp:posOffset>
          </wp:positionV>
          <wp:extent cx="2242820" cy="1035685"/>
          <wp:effectExtent l="0" t="0" r="5080" b="0"/>
          <wp:wrapThrough wrapText="bothSides">
            <wp:wrapPolygon edited="0">
              <wp:start x="4220" y="0"/>
              <wp:lineTo x="2018" y="795"/>
              <wp:lineTo x="1284" y="2781"/>
              <wp:lineTo x="1284" y="6754"/>
              <wp:lineTo x="0" y="9933"/>
              <wp:lineTo x="0" y="11124"/>
              <wp:lineTo x="4220" y="21057"/>
              <wp:lineTo x="5137" y="21057"/>
              <wp:lineTo x="11742" y="19468"/>
              <wp:lineTo x="16695" y="15495"/>
              <wp:lineTo x="16512" y="13111"/>
              <wp:lineTo x="21465" y="12316"/>
              <wp:lineTo x="21465" y="8741"/>
              <wp:lineTo x="17613" y="5960"/>
              <wp:lineTo x="5137" y="0"/>
              <wp:lineTo x="4220" y="0"/>
            </wp:wrapPolygon>
          </wp:wrapThrough>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42820" cy="1035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556E" w14:textId="77777777" w:rsidR="00F60411" w:rsidRDefault="00F60411">
    <w:pPr>
      <w:pStyle w:val="Header"/>
    </w:pPr>
    <w:r w:rsidRPr="00F60411">
      <w:rPr>
        <w:noProof/>
      </w:rPr>
      <w:drawing>
        <wp:anchor distT="0" distB="0" distL="114300" distR="114300" simplePos="0" relativeHeight="251663360" behindDoc="0" locked="0" layoutInCell="1" allowOverlap="1" wp14:anchorId="52376E84" wp14:editId="33979865">
          <wp:simplePos x="0" y="0"/>
          <wp:positionH relativeFrom="column">
            <wp:posOffset>-654050</wp:posOffset>
          </wp:positionH>
          <wp:positionV relativeFrom="paragraph">
            <wp:posOffset>-261924</wp:posOffset>
          </wp:positionV>
          <wp:extent cx="2242820" cy="1035685"/>
          <wp:effectExtent l="0" t="0" r="5080" b="0"/>
          <wp:wrapThrough wrapText="bothSides">
            <wp:wrapPolygon edited="0">
              <wp:start x="4220" y="0"/>
              <wp:lineTo x="2018" y="795"/>
              <wp:lineTo x="1284" y="2781"/>
              <wp:lineTo x="1284" y="6754"/>
              <wp:lineTo x="0" y="9933"/>
              <wp:lineTo x="0" y="11124"/>
              <wp:lineTo x="4220" y="21057"/>
              <wp:lineTo x="5137" y="21057"/>
              <wp:lineTo x="11742" y="19468"/>
              <wp:lineTo x="16695" y="15495"/>
              <wp:lineTo x="16512" y="13111"/>
              <wp:lineTo x="21465" y="12316"/>
              <wp:lineTo x="21465" y="8741"/>
              <wp:lineTo x="17613" y="5960"/>
              <wp:lineTo x="5137" y="0"/>
              <wp:lineTo x="422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42820" cy="1035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62590" w14:textId="77777777" w:rsidR="00F60411" w:rsidRDefault="00F60411">
    <w:pPr>
      <w:pStyle w:val="Header"/>
    </w:pPr>
  </w:p>
  <w:p w14:paraId="7A6C05E3" w14:textId="77777777" w:rsidR="00F60411" w:rsidRDefault="00F60411">
    <w:pPr>
      <w:pStyle w:val="Header"/>
    </w:pPr>
  </w:p>
  <w:p w14:paraId="1D2AC9FB" w14:textId="77777777" w:rsidR="00F60411" w:rsidRDefault="00F60411">
    <w:pPr>
      <w:pStyle w:val="Header"/>
    </w:pPr>
  </w:p>
  <w:p w14:paraId="0D93670C" w14:textId="77777777" w:rsidR="00F60411" w:rsidRDefault="00F604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3E2E"/>
    <w:multiLevelType w:val="multilevel"/>
    <w:tmpl w:val="652015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A75136"/>
    <w:multiLevelType w:val="multilevel"/>
    <w:tmpl w:val="B1AA6A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06146C"/>
    <w:multiLevelType w:val="multilevel"/>
    <w:tmpl w:val="585889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C650F2"/>
    <w:multiLevelType w:val="multilevel"/>
    <w:tmpl w:val="34724D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62E33"/>
    <w:multiLevelType w:val="multilevel"/>
    <w:tmpl w:val="295C1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A56282"/>
    <w:multiLevelType w:val="multilevel"/>
    <w:tmpl w:val="B2A4AA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771E7"/>
    <w:multiLevelType w:val="multilevel"/>
    <w:tmpl w:val="097646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26572D0"/>
    <w:multiLevelType w:val="multilevel"/>
    <w:tmpl w:val="D78CB5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187992"/>
    <w:multiLevelType w:val="multilevel"/>
    <w:tmpl w:val="2FF4F9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6E1170"/>
    <w:multiLevelType w:val="multilevel"/>
    <w:tmpl w:val="7840C9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CC0E62"/>
    <w:multiLevelType w:val="multilevel"/>
    <w:tmpl w:val="07A0BD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72239B"/>
    <w:multiLevelType w:val="multilevel"/>
    <w:tmpl w:val="53181F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58597A"/>
    <w:multiLevelType w:val="multilevel"/>
    <w:tmpl w:val="E87A4B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6B697E"/>
    <w:multiLevelType w:val="multilevel"/>
    <w:tmpl w:val="A9B294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31F388B"/>
    <w:multiLevelType w:val="multilevel"/>
    <w:tmpl w:val="E8EC49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E06787"/>
    <w:multiLevelType w:val="multilevel"/>
    <w:tmpl w:val="DB5879F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4D3B2208"/>
    <w:multiLevelType w:val="multilevel"/>
    <w:tmpl w:val="7F8CA0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712CEB"/>
    <w:multiLevelType w:val="multilevel"/>
    <w:tmpl w:val="FF6091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C15F82"/>
    <w:multiLevelType w:val="multilevel"/>
    <w:tmpl w:val="8B9EC0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23C7C09"/>
    <w:multiLevelType w:val="multilevel"/>
    <w:tmpl w:val="5BAA13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4853BA"/>
    <w:multiLevelType w:val="multilevel"/>
    <w:tmpl w:val="BF5A7E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A20FB8"/>
    <w:multiLevelType w:val="multilevel"/>
    <w:tmpl w:val="59FEC4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7D7774"/>
    <w:multiLevelType w:val="multilevel"/>
    <w:tmpl w:val="C9DEEB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105316"/>
    <w:multiLevelType w:val="multilevel"/>
    <w:tmpl w:val="5EBA6D6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4" w15:restartNumberingAfterBreak="0">
    <w:nsid w:val="722F5354"/>
    <w:multiLevelType w:val="multilevel"/>
    <w:tmpl w:val="EE0273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510526"/>
    <w:multiLevelType w:val="multilevel"/>
    <w:tmpl w:val="4EF222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61B42ED"/>
    <w:multiLevelType w:val="multilevel"/>
    <w:tmpl w:val="A5263D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3D4CCE"/>
    <w:multiLevelType w:val="multilevel"/>
    <w:tmpl w:val="5FCCAE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91F59DA"/>
    <w:multiLevelType w:val="multilevel"/>
    <w:tmpl w:val="920A26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887612"/>
    <w:multiLevelType w:val="multilevel"/>
    <w:tmpl w:val="ADEA60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BD741C"/>
    <w:multiLevelType w:val="multilevel"/>
    <w:tmpl w:val="4538E6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DF45D0C"/>
    <w:multiLevelType w:val="multilevel"/>
    <w:tmpl w:val="D612F2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2A73AB"/>
    <w:multiLevelType w:val="multilevel"/>
    <w:tmpl w:val="4ABA51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743417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8399531">
    <w:abstractNumId w:val="21"/>
  </w:num>
  <w:num w:numId="3" w16cid:durableId="1932739468">
    <w:abstractNumId w:val="25"/>
  </w:num>
  <w:num w:numId="4" w16cid:durableId="1355883036">
    <w:abstractNumId w:val="0"/>
  </w:num>
  <w:num w:numId="5" w16cid:durableId="140387760">
    <w:abstractNumId w:val="19"/>
  </w:num>
  <w:num w:numId="6" w16cid:durableId="1400984993">
    <w:abstractNumId w:val="3"/>
  </w:num>
  <w:num w:numId="7" w16cid:durableId="274413020">
    <w:abstractNumId w:val="8"/>
  </w:num>
  <w:num w:numId="8" w16cid:durableId="2138065195">
    <w:abstractNumId w:val="22"/>
  </w:num>
  <w:num w:numId="9" w16cid:durableId="410080266">
    <w:abstractNumId w:val="12"/>
  </w:num>
  <w:num w:numId="10" w16cid:durableId="1166435270">
    <w:abstractNumId w:val="14"/>
  </w:num>
  <w:num w:numId="11" w16cid:durableId="1129856351">
    <w:abstractNumId w:val="18"/>
  </w:num>
  <w:num w:numId="12" w16cid:durableId="1531644569">
    <w:abstractNumId w:val="31"/>
  </w:num>
  <w:num w:numId="13" w16cid:durableId="1136218950">
    <w:abstractNumId w:val="17"/>
  </w:num>
  <w:num w:numId="14" w16cid:durableId="357044369">
    <w:abstractNumId w:val="2"/>
  </w:num>
  <w:num w:numId="15" w16cid:durableId="1925140464">
    <w:abstractNumId w:val="13"/>
  </w:num>
  <w:num w:numId="16" w16cid:durableId="1085489595">
    <w:abstractNumId w:val="27"/>
  </w:num>
  <w:num w:numId="17" w16cid:durableId="837773373">
    <w:abstractNumId w:val="30"/>
  </w:num>
  <w:num w:numId="18" w16cid:durableId="489519782">
    <w:abstractNumId w:val="5"/>
  </w:num>
  <w:num w:numId="19" w16cid:durableId="897782466">
    <w:abstractNumId w:val="29"/>
  </w:num>
  <w:num w:numId="20" w16cid:durableId="1483156953">
    <w:abstractNumId w:val="16"/>
  </w:num>
  <w:num w:numId="21" w16cid:durableId="1739283484">
    <w:abstractNumId w:val="28"/>
  </w:num>
  <w:num w:numId="22" w16cid:durableId="1768423596">
    <w:abstractNumId w:val="32"/>
  </w:num>
  <w:num w:numId="23" w16cid:durableId="2002081948">
    <w:abstractNumId w:val="4"/>
  </w:num>
  <w:num w:numId="24" w16cid:durableId="2100058722">
    <w:abstractNumId w:val="7"/>
  </w:num>
  <w:num w:numId="25" w16cid:durableId="1331062134">
    <w:abstractNumId w:val="11"/>
  </w:num>
  <w:num w:numId="26" w16cid:durableId="1205020770">
    <w:abstractNumId w:val="26"/>
  </w:num>
  <w:num w:numId="27" w16cid:durableId="551579926">
    <w:abstractNumId w:val="9"/>
  </w:num>
  <w:num w:numId="28" w16cid:durableId="717121535">
    <w:abstractNumId w:val="1"/>
  </w:num>
  <w:num w:numId="29" w16cid:durableId="755399258">
    <w:abstractNumId w:val="20"/>
  </w:num>
  <w:num w:numId="30" w16cid:durableId="1066147250">
    <w:abstractNumId w:val="24"/>
  </w:num>
  <w:num w:numId="31" w16cid:durableId="1980500293">
    <w:abstractNumId w:val="10"/>
  </w:num>
  <w:num w:numId="32" w16cid:durableId="1086075251">
    <w:abstractNumId w:val="15"/>
  </w:num>
  <w:num w:numId="33" w16cid:durableId="12010859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CCEventSaveFileName" w:val="D:\Users\Wolff\AppData\Local\Microsoft\Windows\INetCache\Content.Outlook\TI2T5C71\AG Opinion 23-102 - Brown Act Committee - Cal Cities Draft.docx"/>
  </w:docVars>
  <w:rsids>
    <w:rsidRoot w:val="00F451FF"/>
    <w:rsid w:val="000121B4"/>
    <w:rsid w:val="00036FFC"/>
    <w:rsid w:val="00064562"/>
    <w:rsid w:val="00077FA5"/>
    <w:rsid w:val="000B0C76"/>
    <w:rsid w:val="000E0589"/>
    <w:rsid w:val="001278E8"/>
    <w:rsid w:val="0015114C"/>
    <w:rsid w:val="0016759C"/>
    <w:rsid w:val="00167DFE"/>
    <w:rsid w:val="001D113B"/>
    <w:rsid w:val="001F7F96"/>
    <w:rsid w:val="00236164"/>
    <w:rsid w:val="002371FD"/>
    <w:rsid w:val="00241AD5"/>
    <w:rsid w:val="0027724B"/>
    <w:rsid w:val="002A434A"/>
    <w:rsid w:val="003077AD"/>
    <w:rsid w:val="0033558D"/>
    <w:rsid w:val="00374828"/>
    <w:rsid w:val="003D1605"/>
    <w:rsid w:val="0045369E"/>
    <w:rsid w:val="00492601"/>
    <w:rsid w:val="004A1B78"/>
    <w:rsid w:val="004B38AE"/>
    <w:rsid w:val="004C42B7"/>
    <w:rsid w:val="005074D0"/>
    <w:rsid w:val="00540714"/>
    <w:rsid w:val="00577F64"/>
    <w:rsid w:val="005955CC"/>
    <w:rsid w:val="005B417E"/>
    <w:rsid w:val="005C423A"/>
    <w:rsid w:val="005E2212"/>
    <w:rsid w:val="0062067B"/>
    <w:rsid w:val="006411AB"/>
    <w:rsid w:val="006643B2"/>
    <w:rsid w:val="0067583F"/>
    <w:rsid w:val="006B494C"/>
    <w:rsid w:val="007422E5"/>
    <w:rsid w:val="00780447"/>
    <w:rsid w:val="007A71F6"/>
    <w:rsid w:val="007B6485"/>
    <w:rsid w:val="007E7D75"/>
    <w:rsid w:val="00822EBA"/>
    <w:rsid w:val="00824633"/>
    <w:rsid w:val="00853955"/>
    <w:rsid w:val="00882A84"/>
    <w:rsid w:val="008862AC"/>
    <w:rsid w:val="00890E5C"/>
    <w:rsid w:val="0089563B"/>
    <w:rsid w:val="009022CB"/>
    <w:rsid w:val="00905457"/>
    <w:rsid w:val="00923392"/>
    <w:rsid w:val="009437AD"/>
    <w:rsid w:val="00990CA3"/>
    <w:rsid w:val="009C05AD"/>
    <w:rsid w:val="009F5E4C"/>
    <w:rsid w:val="00A0700B"/>
    <w:rsid w:val="00A24E9C"/>
    <w:rsid w:val="00A478AF"/>
    <w:rsid w:val="00A757D4"/>
    <w:rsid w:val="00AA6484"/>
    <w:rsid w:val="00AC0C6C"/>
    <w:rsid w:val="00AE572C"/>
    <w:rsid w:val="00BC0667"/>
    <w:rsid w:val="00BC46B6"/>
    <w:rsid w:val="00BF4E39"/>
    <w:rsid w:val="00C06FD2"/>
    <w:rsid w:val="00C61ACE"/>
    <w:rsid w:val="00CB0367"/>
    <w:rsid w:val="00CB32E1"/>
    <w:rsid w:val="00CB73DA"/>
    <w:rsid w:val="00D44755"/>
    <w:rsid w:val="00D638DC"/>
    <w:rsid w:val="00DD0D3B"/>
    <w:rsid w:val="00DF39E7"/>
    <w:rsid w:val="00DF4AFB"/>
    <w:rsid w:val="00E67A76"/>
    <w:rsid w:val="00E726DF"/>
    <w:rsid w:val="00ED297F"/>
    <w:rsid w:val="00EF2930"/>
    <w:rsid w:val="00F451FF"/>
    <w:rsid w:val="00F5441B"/>
    <w:rsid w:val="00F60411"/>
    <w:rsid w:val="00FB78A6"/>
    <w:rsid w:val="00FF6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F3151"/>
  <w15:chartTrackingRefBased/>
  <w15:docId w15:val="{BF239CF2-CF8F-4370-AA7E-2DFAE1826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78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6200"/>
    <w:pPr>
      <w:tabs>
        <w:tab w:val="center" w:pos="4680"/>
        <w:tab w:val="right" w:pos="9360"/>
      </w:tabs>
    </w:pPr>
  </w:style>
  <w:style w:type="character" w:customStyle="1" w:styleId="HeaderChar">
    <w:name w:val="Header Char"/>
    <w:basedOn w:val="DefaultParagraphFont"/>
    <w:link w:val="Header"/>
    <w:uiPriority w:val="99"/>
    <w:rsid w:val="00FF6200"/>
  </w:style>
  <w:style w:type="paragraph" w:styleId="Footer">
    <w:name w:val="footer"/>
    <w:basedOn w:val="Normal"/>
    <w:link w:val="FooterChar"/>
    <w:uiPriority w:val="99"/>
    <w:unhideWhenUsed/>
    <w:rsid w:val="00FF6200"/>
    <w:pPr>
      <w:tabs>
        <w:tab w:val="center" w:pos="4680"/>
        <w:tab w:val="right" w:pos="9360"/>
      </w:tabs>
    </w:pPr>
  </w:style>
  <w:style w:type="character" w:customStyle="1" w:styleId="FooterChar">
    <w:name w:val="Footer Char"/>
    <w:basedOn w:val="DefaultParagraphFont"/>
    <w:link w:val="Footer"/>
    <w:uiPriority w:val="99"/>
    <w:rsid w:val="00FF6200"/>
  </w:style>
  <w:style w:type="paragraph" w:styleId="ListParagraph">
    <w:name w:val="List Paragraph"/>
    <w:basedOn w:val="Normal"/>
    <w:uiPriority w:val="1"/>
    <w:qFormat/>
    <w:rsid w:val="00FF6200"/>
    <w:pPr>
      <w:autoSpaceDE w:val="0"/>
      <w:autoSpaceDN w:val="0"/>
      <w:adjustRightInd w:val="0"/>
    </w:pPr>
  </w:style>
  <w:style w:type="character" w:styleId="Hyperlink">
    <w:name w:val="Hyperlink"/>
    <w:basedOn w:val="DefaultParagraphFont"/>
    <w:uiPriority w:val="99"/>
    <w:unhideWhenUsed/>
    <w:rsid w:val="006411AB"/>
    <w:rPr>
      <w:color w:val="0000FF"/>
      <w:u w:val="single"/>
    </w:rPr>
  </w:style>
  <w:style w:type="paragraph" w:customStyle="1" w:styleId="BasicParagraph">
    <w:name w:val="[Basic Paragraph]"/>
    <w:basedOn w:val="Normal"/>
    <w:uiPriority w:val="99"/>
    <w:rsid w:val="00577F64"/>
    <w:pPr>
      <w:autoSpaceDE w:val="0"/>
      <w:autoSpaceDN w:val="0"/>
      <w:adjustRightInd w:val="0"/>
      <w:spacing w:line="288" w:lineRule="auto"/>
      <w:textAlignment w:val="center"/>
    </w:pPr>
    <w:rPr>
      <w:rFonts w:ascii="Minion Pro" w:hAnsi="Minion Pro" w:cs="Minion Pro"/>
      <w:color w:val="000000"/>
    </w:rPr>
  </w:style>
  <w:style w:type="paragraph" w:styleId="NormalWeb">
    <w:name w:val="Normal (Web)"/>
    <w:basedOn w:val="Normal"/>
    <w:uiPriority w:val="99"/>
    <w:unhideWhenUsed/>
    <w:rsid w:val="00DF39E7"/>
    <w:pPr>
      <w:spacing w:before="100" w:beforeAutospacing="1" w:after="100" w:afterAutospacing="1"/>
    </w:pPr>
  </w:style>
  <w:style w:type="character" w:styleId="UnresolvedMention">
    <w:name w:val="Unresolved Mention"/>
    <w:basedOn w:val="DefaultParagraphFont"/>
    <w:uiPriority w:val="99"/>
    <w:semiHidden/>
    <w:unhideWhenUsed/>
    <w:rsid w:val="002371FD"/>
    <w:rPr>
      <w:color w:val="605E5C"/>
      <w:shd w:val="clear" w:color="auto" w:fill="E1DFDD"/>
    </w:rPr>
  </w:style>
  <w:style w:type="paragraph" w:styleId="BalloonText">
    <w:name w:val="Balloon Text"/>
    <w:basedOn w:val="Normal"/>
    <w:link w:val="BalloonTextChar"/>
    <w:uiPriority w:val="99"/>
    <w:semiHidden/>
    <w:unhideWhenUsed/>
    <w:rsid w:val="005C42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23A"/>
    <w:rPr>
      <w:rFonts w:ascii="Segoe UI" w:hAnsi="Segoe UI" w:cs="Segoe UI"/>
      <w:color w:val="333333"/>
      <w:sz w:val="18"/>
      <w:szCs w:val="18"/>
    </w:rPr>
  </w:style>
  <w:style w:type="paragraph" w:customStyle="1" w:styleId="CalCitiesnewbranding">
    <w:name w:val="Cal Cities new branding"/>
    <w:basedOn w:val="Normal"/>
    <w:link w:val="CalCitiesnewbrandingChar"/>
    <w:qFormat/>
    <w:rsid w:val="00824633"/>
    <w:rPr>
      <w:rFonts w:ascii="Century Gothic" w:hAnsi="Century Gothic"/>
      <w:sz w:val="20"/>
    </w:rPr>
  </w:style>
  <w:style w:type="character" w:customStyle="1" w:styleId="CalCitiesnewbrandingChar">
    <w:name w:val="Cal Cities new branding Char"/>
    <w:basedOn w:val="DefaultParagraphFont"/>
    <w:link w:val="CalCitiesnewbranding"/>
    <w:rsid w:val="00824633"/>
    <w:rPr>
      <w:rFonts w:ascii="Century Gothic" w:hAnsi="Century Gothic" w:cs="Calibri"/>
      <w:color w:val="333333"/>
      <w:sz w:val="20"/>
    </w:rPr>
  </w:style>
  <w:style w:type="paragraph" w:styleId="EndnoteText">
    <w:name w:val="endnote text"/>
    <w:basedOn w:val="Normal"/>
    <w:link w:val="EndnoteTextChar"/>
    <w:uiPriority w:val="99"/>
    <w:semiHidden/>
    <w:unhideWhenUsed/>
    <w:rsid w:val="004C42B7"/>
    <w:rPr>
      <w:sz w:val="20"/>
      <w:szCs w:val="20"/>
    </w:rPr>
  </w:style>
  <w:style w:type="character" w:customStyle="1" w:styleId="EndnoteTextChar">
    <w:name w:val="Endnote Text Char"/>
    <w:basedOn w:val="DefaultParagraphFont"/>
    <w:link w:val="EndnoteText"/>
    <w:uiPriority w:val="99"/>
    <w:semiHidden/>
    <w:rsid w:val="004C42B7"/>
    <w:rPr>
      <w:rFonts w:ascii="Calibri" w:hAnsi="Calibri" w:cs="Calibri"/>
      <w:color w:val="333333"/>
      <w:sz w:val="20"/>
      <w:szCs w:val="20"/>
    </w:rPr>
  </w:style>
  <w:style w:type="character" w:styleId="EndnoteReference">
    <w:name w:val="endnote reference"/>
    <w:basedOn w:val="DefaultParagraphFont"/>
    <w:uiPriority w:val="99"/>
    <w:semiHidden/>
    <w:unhideWhenUsed/>
    <w:rsid w:val="004C42B7"/>
    <w:rPr>
      <w:vertAlign w:val="superscript"/>
    </w:rPr>
  </w:style>
  <w:style w:type="character" w:styleId="FootnoteReference">
    <w:name w:val="footnote reference"/>
    <w:basedOn w:val="DefaultParagraphFont"/>
    <w:rsid w:val="00FB78A6"/>
    <w:rPr>
      <w:vertAlign w:val="superscript"/>
    </w:rPr>
  </w:style>
  <w:style w:type="paragraph" w:styleId="Revision">
    <w:name w:val="Revision"/>
    <w:hidden/>
    <w:uiPriority w:val="99"/>
    <w:semiHidden/>
    <w:rsid w:val="00A24E9C"/>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82A84"/>
    <w:rPr>
      <w:sz w:val="16"/>
      <w:szCs w:val="16"/>
    </w:rPr>
  </w:style>
  <w:style w:type="paragraph" w:styleId="CommentText">
    <w:name w:val="annotation text"/>
    <w:basedOn w:val="Normal"/>
    <w:link w:val="CommentTextChar"/>
    <w:uiPriority w:val="99"/>
    <w:unhideWhenUsed/>
    <w:rsid w:val="00882A84"/>
    <w:rPr>
      <w:sz w:val="20"/>
      <w:szCs w:val="20"/>
    </w:rPr>
  </w:style>
  <w:style w:type="character" w:customStyle="1" w:styleId="CommentTextChar">
    <w:name w:val="Comment Text Char"/>
    <w:basedOn w:val="DefaultParagraphFont"/>
    <w:link w:val="CommentText"/>
    <w:uiPriority w:val="99"/>
    <w:rsid w:val="00882A8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A84"/>
    <w:rPr>
      <w:b/>
      <w:bCs/>
    </w:rPr>
  </w:style>
  <w:style w:type="character" w:customStyle="1" w:styleId="CommentSubjectChar">
    <w:name w:val="Comment Subject Char"/>
    <w:basedOn w:val="CommentTextChar"/>
    <w:link w:val="CommentSubject"/>
    <w:uiPriority w:val="99"/>
    <w:semiHidden/>
    <w:rsid w:val="00882A8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78056">
      <w:bodyDiv w:val="1"/>
      <w:marLeft w:val="0"/>
      <w:marRight w:val="0"/>
      <w:marTop w:val="0"/>
      <w:marBottom w:val="0"/>
      <w:divBdr>
        <w:top w:val="none" w:sz="0" w:space="0" w:color="auto"/>
        <w:left w:val="none" w:sz="0" w:space="0" w:color="auto"/>
        <w:bottom w:val="none" w:sz="0" w:space="0" w:color="auto"/>
        <w:right w:val="none" w:sz="0" w:space="0" w:color="auto"/>
      </w:divBdr>
    </w:div>
    <w:div w:id="23805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ag.ca.gov/system/files/opinions/pdfs/23-102.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E6B6-BB45-4259-B3B0-2D3BCDA40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589</Words>
  <Characters>3222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Cadelago</dc:creator>
  <cp:keywords/>
  <dc:description/>
  <cp:lastModifiedBy>Alex Guzman</cp:lastModifiedBy>
  <cp:revision>2</cp:revision>
  <dcterms:created xsi:type="dcterms:W3CDTF">2024-07-26T18:16:00Z</dcterms:created>
  <dcterms:modified xsi:type="dcterms:W3CDTF">2024-07-26T18:16:00Z</dcterms:modified>
</cp:coreProperties>
</file>